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74" w:rsidRPr="00473295" w:rsidRDefault="00FA3374" w:rsidP="00FA337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Podaci vezani uz oglas za prijam u službu u Jedinstveni upravni odjel na određeno vrijeme na radno mjesto: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br/>
      </w:r>
      <w:r w:rsidR="0091511E"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Viši stručni suradnik za </w:t>
      </w:r>
      <w:r w:rsidR="007979E1"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izgradnju i održavanje komunalne infrastrukture</w:t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 - 1 izvršitelj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  <w:t xml:space="preserve">Natječaj je objavljen na internetskoj stranci Hrvatskog zavoda za zapošljavanje  od </w:t>
      </w:r>
      <w:r w:rsidR="00370E8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370E88">
        <w:rPr>
          <w:rFonts w:asciiTheme="minorHAnsi" w:eastAsiaTheme="minorHAnsi" w:hAnsiTheme="minorHAnsi"/>
          <w:sz w:val="22"/>
          <w:szCs w:val="22"/>
          <w:lang w:eastAsia="en-US"/>
        </w:rPr>
        <w:t>14</w:t>
      </w:r>
      <w:r w:rsidR="007617D9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  <w:r w:rsidR="007979E1" w:rsidRPr="00473295">
        <w:rPr>
          <w:rFonts w:asciiTheme="minorHAnsi" w:eastAsiaTheme="minorHAnsi" w:hAnsiTheme="minorHAnsi"/>
          <w:sz w:val="22"/>
          <w:szCs w:val="22"/>
          <w:lang w:eastAsia="en-US"/>
        </w:rPr>
        <w:t>listopada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 </w:t>
      </w:r>
      <w:r w:rsidR="007979E1" w:rsidRPr="00473295">
        <w:rPr>
          <w:rFonts w:asciiTheme="minorHAnsi" w:eastAsiaTheme="minorHAnsi" w:hAnsiTheme="minorHAnsi"/>
          <w:sz w:val="22"/>
          <w:szCs w:val="22"/>
          <w:lang w:eastAsia="en-US"/>
        </w:rPr>
        <w:t>2019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. godine</w:t>
      </w:r>
      <w:r w:rsidRPr="00473295">
        <w:rPr>
          <w:rFonts w:asciiTheme="minorHAnsi" w:eastAsiaTheme="minorHAnsi" w:hAnsiTheme="minorHAnsi"/>
          <w:color w:val="FF0000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Opis poslova: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1. organizira pravovremeno izvođenje radova i vrši kontrolu kvalitete i vrši financijsku kontrolu nad izvođenjem radova na održavanju komunalne infrastrukture, uređenjem zelenih i javnih površina, nerazvrstanih i drugih cesta sa komunalnom infrastrukturom, parkirališta,  kontrolira stanje objekata, poduzima mjere za otklanjanje utvrđenih nepravilnosti i oštećenja;  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2. prati projekte komunalne infrastrukture koji se izvode na području općine, a kojih Općina nije investitor, te aktivno sudjeluje u realizaciji tih projekta; 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3. priprema i izrađuje planove i prijedloge programa vezane uz održavanje komunalne infrastrukture te prati i sudjeluje u ostvarenju programa, planova i ugovora te priprema izvješća o njihovom ostvarenju;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4. obavlja stručne poslove povezane s pripremom projekta i  organizacijom izvođenja gradnje infrastrukturnih i kapitalnih građevina  komunalne infrastrukture  (nerazvrstane ceste, javne površine, parkovi i igrališta, šetnice, građevine groblja i sl.) kojih je investitor Općina Viškovo  i vodi gradnju te  vrši kontrolu kvalitete, usklađenosti sa propisima i financijsku kontrolu nad izvođenjem radova,  vodi poslove u vezi projektiranja i ishođenja odgovarajućih dozvola za građenje   infrastrukturnih i kapitalnih građevina  komunalne infrastrukture;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5. organizira i vodi gradnju te vrši kontrolu kvalitete, usklađenosti sa propisima i financijsku kontrolu nad izvođenjem radova za koje nije potrebno ishođenje građevne dozvole kao i građevina za koje je potrebna građevinska dozvola izrađuje troškovnike i pokreće postupke nabave za izvođenje radova i usluga; 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6. vrši nadzor nad stanjem objekata i uređaja komunalne infrastrukture te javnim površinama, vodi police osiguranja, prijavljuje štete na osiguranim objektima (nerazvrstane ceste, javne površine,  komunalna infrastruktura, groblje), brine o naplati odštetnih zahtjeva za nastale štete, vodi evidenciju šteta;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7. surađuje i prati realizaciju komunalne djelatnosti  javnog prijevoza putnika na području općine - obavlja stručne poslove povezane s planiranjem, organizacijom, upravljanjem i uređenjem javnog prijevoza putnika i prometa na području općine, te nad upravljanjem i  održavanjem prometne signalizacije  na  nerazvrstanim i drugim cestama na području općine, te obavlja poslove povezane sa   planiranjem prometa u mirovanju i  izrađuje troškovnike za izvođenje radova te pokreće postupke nabave radova i usluga;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8. provodi upravne ili neupravne postupke davanja suglasnosti na projekte i geodetske elaborate, vrši uvid na terenu u geodetske elaborate (kada je Općina stranka u postupku), izdaje suglasnost za izvođenje prekopa prometnica u vlasništvu Općine,  rješava o upravnoj stvari i sudjeluje u žalbenom postupku na navedena rješenja i postupku pokrenutom po tužbi, priprema obrazloženja, izdaje potvrde na glavne projekte, izdaje prethodne uvjete i potvrde na glavni projekt iz djelokruga JLS – spoj na prometnu infrastrukturu, izdaje posebne uvijete ili druge suglasnosti na projekte i geodetske elaborate, sudjeluje u postupku  tehničkih pregleda, te sudjeluje u radu projektnih timova ili koordinacija;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9. prati propise iz upravnog područja koje prati te predlaže pravovremeno donošenje novih općih ili posebnih akata ili usklađenje istih sa novim propisima, izrađuje prijedloge tih akata,  vodi evidenciju kapitalnih i drugih projekata i aktivnosti čiju realizaciju prati, predlaže i prati dinamiku realizacije istih; 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10. vodi i organizira pripremu poslova civilne zaštite; </w:t>
      </w:r>
    </w:p>
    <w:p w:rsidR="00473295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11.u okviru svoje nadležnosti prima stranke i daje određena tumačenja i obrazloženja;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:rsidR="00882C9E" w:rsidRPr="00473295" w:rsidRDefault="00473295" w:rsidP="0047329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12.obavlja i druge poslove po nalogu nadređenih.</w:t>
      </w:r>
    </w:p>
    <w:p w:rsidR="00473295" w:rsidRPr="00473295" w:rsidRDefault="00473295" w:rsidP="00473295">
      <w:pPr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FA3374" w:rsidRPr="00473295" w:rsidRDefault="003102E9" w:rsidP="00882C9E">
      <w:pPr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Osnovna bruto plaća: 11.449,73</w:t>
      </w:r>
      <w:r w:rsidR="00FA3374"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kn</w:t>
      </w:r>
    </w:p>
    <w:p w:rsidR="00B6055A" w:rsidRPr="00473295" w:rsidRDefault="00B6055A" w:rsidP="00882C9E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FA3374" w:rsidRPr="00473295" w:rsidRDefault="00FA3374" w:rsidP="00FA337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Provjera znanja i sposobnosti:</w:t>
      </w:r>
    </w:p>
    <w:p w:rsidR="00FA3374" w:rsidRPr="00473295" w:rsidRDefault="00FA3374" w:rsidP="00FA3374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Obuhvaća pisano testiranje, provjeru rada na računalu  i intervju.</w:t>
      </w:r>
    </w:p>
    <w:p w:rsidR="00FA3374" w:rsidRPr="00473295" w:rsidRDefault="00FA3374" w:rsidP="00FA3374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Najmanje pet dana prije održavanja testiranja objavit će se putem </w:t>
      </w:r>
      <w:proofErr w:type="spellStart"/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internet</w:t>
      </w:r>
      <w:proofErr w:type="spellEnd"/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stranice </w:t>
      </w:r>
      <w:r w:rsidR="006D1486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i oglasne ploče Općine Viškovo 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vrijeme održavanja testiranja</w:t>
      </w:r>
      <w:r w:rsidR="0030751F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  <w:r w:rsidR="006D1486" w:rsidRPr="00473295">
        <w:rPr>
          <w:rFonts w:asciiTheme="minorHAnsi" w:eastAsiaTheme="minorHAnsi" w:hAnsiTheme="minorHAnsi"/>
          <w:sz w:val="22"/>
          <w:szCs w:val="22"/>
          <w:lang w:eastAsia="en-US"/>
        </w:rPr>
        <w:t>Kandidati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koji ispunjavaju formalne uvjete iz oglasa biti </w:t>
      </w:r>
      <w:r w:rsidR="006D1486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će 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pozvani na pisano testiranje i provjeru rada na računalu</w:t>
      </w:r>
      <w:r w:rsidR="006D1486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putem e-</w:t>
      </w:r>
      <w:proofErr w:type="spellStart"/>
      <w:r w:rsidR="006D1486" w:rsidRPr="00473295">
        <w:rPr>
          <w:rFonts w:asciiTheme="minorHAnsi" w:eastAsiaTheme="minorHAnsi" w:hAnsiTheme="minorHAnsi"/>
          <w:sz w:val="22"/>
          <w:szCs w:val="22"/>
          <w:lang w:eastAsia="en-US"/>
        </w:rPr>
        <w:t>maila</w:t>
      </w:r>
      <w:proofErr w:type="spellEnd"/>
      <w:r w:rsidR="00D46532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navedenog na prijavi na oglas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</w:p>
    <w:p w:rsidR="00FA3374" w:rsidRPr="00473295" w:rsidRDefault="00FA3374" w:rsidP="00FA3374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Na istoj </w:t>
      </w:r>
      <w:proofErr w:type="spellStart"/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internet</w:t>
      </w:r>
      <w:proofErr w:type="spellEnd"/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stranici i oglasnoj ploči objavit će se </w:t>
      </w:r>
      <w:r w:rsidR="0030751F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vrijeme održavanja intervjua 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i to najmanje pet dana prije održavanja intervjua. Intervju se provodi samo s kandidatima koji su ostvarili najmanje 50% bodova iz svakog dijela provjere znanja i sposobnosti kandidata na provedenom testiranju i provjeri praktičnog rada.</w:t>
      </w:r>
      <w:r w:rsidR="0030751F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Kandidati koji su ostvarili najmanje 50% bodova iz svakog dijela provjere znanja i sposobnosti kandidata na provedenom testiranju i provjeri praktičnog rada biti će pozvani na intervju putem e-</w:t>
      </w:r>
      <w:proofErr w:type="spellStart"/>
      <w:r w:rsidR="0030751F" w:rsidRPr="00473295">
        <w:rPr>
          <w:rFonts w:asciiTheme="minorHAnsi" w:eastAsiaTheme="minorHAnsi" w:hAnsiTheme="minorHAnsi"/>
          <w:sz w:val="22"/>
          <w:szCs w:val="22"/>
          <w:lang w:eastAsia="en-US"/>
        </w:rPr>
        <w:t>maila</w:t>
      </w:r>
      <w:proofErr w:type="spellEnd"/>
      <w:r w:rsidR="005C27C8" w:rsidRPr="00473295">
        <w:rPr>
          <w:rFonts w:asciiTheme="minorHAnsi" w:eastAsiaTheme="minorHAnsi" w:hAnsiTheme="minorHAnsi"/>
          <w:sz w:val="22"/>
          <w:szCs w:val="22"/>
          <w:lang w:eastAsia="en-US"/>
        </w:rPr>
        <w:t xml:space="preserve"> navedenog na prijavi na oglas</w:t>
      </w:r>
      <w:r w:rsidR="0030751F" w:rsidRPr="00473295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FA3374" w:rsidRPr="00224AE2" w:rsidRDefault="00FA3374" w:rsidP="00FA3374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224AE2">
        <w:rPr>
          <w:rFonts w:asciiTheme="minorHAnsi" w:eastAsiaTheme="minorHAnsi" w:hAnsiTheme="minorHAnsi"/>
          <w:sz w:val="22"/>
          <w:szCs w:val="22"/>
          <w:lang w:eastAsia="en-US"/>
        </w:rPr>
        <w:t xml:space="preserve">Područje pisanog testiranja obuhvaća područje lokalne i područne (regionalne) samouprave, područje općeg upravnog postupka, </w:t>
      </w:r>
      <w:r w:rsidR="00224AE2" w:rsidRPr="00224AE2">
        <w:rPr>
          <w:rFonts w:asciiTheme="minorHAnsi" w:eastAsiaTheme="minorHAnsi" w:hAnsiTheme="minorHAnsi"/>
          <w:sz w:val="22"/>
          <w:szCs w:val="22"/>
          <w:lang w:eastAsia="en-US"/>
        </w:rPr>
        <w:t>područje uredskog poslovanja, područje komunalnog gospodarstva te područje graditeljstva i prostornog uređenja.</w:t>
      </w:r>
    </w:p>
    <w:p w:rsidR="00224AE2" w:rsidRDefault="00224AE2" w:rsidP="00FA3374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FA3374" w:rsidRPr="00473295" w:rsidRDefault="00FA3374" w:rsidP="00FA3374">
      <w:pPr>
        <w:rPr>
          <w:rFonts w:asciiTheme="minorHAnsi" w:eastAsiaTheme="minorHAnsi" w:hAnsiTheme="minorHAnsi"/>
          <w:color w:val="FF0000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156173">
        <w:rPr>
          <w:rFonts w:asciiTheme="minorHAnsi" w:eastAsiaTheme="minorHAnsi" w:hAnsiTheme="minorHAnsi"/>
          <w:sz w:val="22"/>
          <w:szCs w:val="22"/>
          <w:lang w:eastAsia="en-US"/>
        </w:rPr>
        <w:t>Pravni i drugi izvori provjere znanja:</w:t>
      </w:r>
    </w:p>
    <w:p w:rsidR="00FA3374" w:rsidRPr="00473295" w:rsidRDefault="00FA3374" w:rsidP="00FA3374">
      <w:pPr>
        <w:rPr>
          <w:rFonts w:asciiTheme="minorHAnsi" w:eastAsiaTheme="minorHAnsi" w:hAnsiTheme="minorHAnsi"/>
          <w:color w:val="FF0000"/>
          <w:sz w:val="22"/>
          <w:szCs w:val="22"/>
          <w:lang w:eastAsia="en-US"/>
        </w:rPr>
      </w:pPr>
    </w:p>
    <w:p w:rsidR="00876A3C" w:rsidRPr="00473295" w:rsidRDefault="00FA3374" w:rsidP="00473295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224AE2">
        <w:rPr>
          <w:rFonts w:asciiTheme="minorHAnsi" w:eastAsiaTheme="minorHAnsi" w:hAnsiTheme="minorHAnsi"/>
          <w:sz w:val="22"/>
          <w:szCs w:val="22"/>
          <w:lang w:eastAsia="en-US"/>
        </w:rPr>
        <w:t>Zakon o općem upravnom postupku (Narodne novine</w:t>
      </w:r>
      <w:r w:rsidR="00156173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224AE2">
        <w:rPr>
          <w:rFonts w:asciiTheme="minorHAnsi" w:eastAsiaTheme="minorHAnsi" w:hAnsiTheme="minorHAnsi"/>
          <w:sz w:val="22"/>
          <w:szCs w:val="22"/>
          <w:lang w:eastAsia="en-US"/>
        </w:rPr>
        <w:t xml:space="preserve"> br. 47/09), Zakon o službenicima i namještenicima u lokalnoj i područnoj (regionalnoj) samoupravi (Narodne novine</w:t>
      </w:r>
      <w:r w:rsidR="00156173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224AE2">
        <w:rPr>
          <w:rFonts w:asciiTheme="minorHAnsi" w:eastAsiaTheme="minorHAnsi" w:hAnsiTheme="minorHAnsi"/>
          <w:sz w:val="22"/>
          <w:szCs w:val="22"/>
          <w:lang w:eastAsia="en-US"/>
        </w:rPr>
        <w:t xml:space="preserve"> br. 86/08, 61/11, 4/18), Uredba o uredskom poslova</w:t>
      </w:r>
      <w:r w:rsidR="00224AE2">
        <w:rPr>
          <w:rFonts w:asciiTheme="minorHAnsi" w:eastAsiaTheme="minorHAnsi" w:hAnsiTheme="minorHAnsi"/>
          <w:sz w:val="22"/>
          <w:szCs w:val="22"/>
          <w:lang w:eastAsia="en-US"/>
        </w:rPr>
        <w:t>nju (Narodne novine</w:t>
      </w:r>
      <w:r w:rsidR="00156173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="00224AE2">
        <w:rPr>
          <w:rFonts w:asciiTheme="minorHAnsi" w:eastAsiaTheme="minorHAnsi" w:hAnsiTheme="minorHAnsi"/>
          <w:sz w:val="22"/>
          <w:szCs w:val="22"/>
          <w:lang w:eastAsia="en-US"/>
        </w:rPr>
        <w:t xml:space="preserve"> br. 07/09), Zakon o komunalnom gospodarstvu (Narodne novine</w:t>
      </w:r>
      <w:r w:rsidR="00156173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="00224AE2">
        <w:rPr>
          <w:rFonts w:asciiTheme="minorHAnsi" w:eastAsiaTheme="minorHAnsi" w:hAnsiTheme="minorHAnsi"/>
          <w:sz w:val="22"/>
          <w:szCs w:val="22"/>
          <w:lang w:eastAsia="en-US"/>
        </w:rPr>
        <w:t xml:space="preserve"> br. 68/18, 110/18), Zakon o gradnji (Narodne novine, </w:t>
      </w:r>
      <w:r w:rsidR="00156173">
        <w:rPr>
          <w:rFonts w:asciiTheme="minorHAnsi" w:eastAsiaTheme="minorHAnsi" w:hAnsiTheme="minorHAnsi"/>
          <w:sz w:val="22"/>
          <w:szCs w:val="22"/>
          <w:lang w:eastAsia="en-US"/>
        </w:rPr>
        <w:t>br. 153/13, 20/17, 39/19), Zakon o prostornom uređenju (Narodne novine, br. 153/13, 65/17, 114/18, 39/19), Zakon o zaštiti od požara (Narodne novine, br. 92/10), Zakon o zaštiti na radu (Narodne novine, br. 71/14, 118/14, 154/14, 94/18, 96/18).</w:t>
      </w:r>
    </w:p>
    <w:p w:rsidR="00876A3C" w:rsidRPr="00473295" w:rsidRDefault="00876A3C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76A3C" w:rsidRPr="00473295" w:rsidRDefault="00876A3C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3C53FC" w:rsidRPr="00473295" w:rsidRDefault="003C53FC" w:rsidP="003C53F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Dostaviti:</w:t>
      </w:r>
    </w:p>
    <w:p w:rsidR="003C53FC" w:rsidRPr="00473295" w:rsidRDefault="003C53FC" w:rsidP="003C53FC">
      <w:pPr>
        <w:ind w:firstLine="709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1. Internetska stranica Općine Viškovo</w:t>
      </w:r>
    </w:p>
    <w:p w:rsidR="003C53FC" w:rsidRPr="00473295" w:rsidRDefault="003C53FC" w:rsidP="00254F6D">
      <w:pPr>
        <w:ind w:firstLine="709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2. Pismohrana</w:t>
      </w: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ab/>
      </w:r>
    </w:p>
    <w:sectPr w:rsidR="003C53FC" w:rsidRPr="00473295" w:rsidSect="003C53FC">
      <w:pgSz w:w="11907" w:h="16839" w:code="9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25" w:rsidRDefault="00DB2825">
      <w:r>
        <w:separator/>
      </w:r>
    </w:p>
  </w:endnote>
  <w:endnote w:type="continuationSeparator" w:id="0">
    <w:p w:rsidR="00DB2825" w:rsidRDefault="00D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25" w:rsidRDefault="00DB2825">
      <w:r>
        <w:separator/>
      </w:r>
    </w:p>
  </w:footnote>
  <w:footnote w:type="continuationSeparator" w:id="0">
    <w:p w:rsidR="00DB2825" w:rsidRDefault="00DB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42"/>
    <w:rsid w:val="00062512"/>
    <w:rsid w:val="000670D6"/>
    <w:rsid w:val="000737FE"/>
    <w:rsid w:val="00090E0A"/>
    <w:rsid w:val="000A2B24"/>
    <w:rsid w:val="000D41C4"/>
    <w:rsid w:val="000F0836"/>
    <w:rsid w:val="000F5A38"/>
    <w:rsid w:val="00125E88"/>
    <w:rsid w:val="00156173"/>
    <w:rsid w:val="001B6574"/>
    <w:rsid w:val="001E5228"/>
    <w:rsid w:val="0021258A"/>
    <w:rsid w:val="00224AE2"/>
    <w:rsid w:val="00227090"/>
    <w:rsid w:val="0024003D"/>
    <w:rsid w:val="00253F68"/>
    <w:rsid w:val="00254F6D"/>
    <w:rsid w:val="002700DE"/>
    <w:rsid w:val="00284C22"/>
    <w:rsid w:val="002B75F1"/>
    <w:rsid w:val="002C1E19"/>
    <w:rsid w:val="0030751F"/>
    <w:rsid w:val="003102E9"/>
    <w:rsid w:val="003155E9"/>
    <w:rsid w:val="0031665B"/>
    <w:rsid w:val="0032547A"/>
    <w:rsid w:val="0033148C"/>
    <w:rsid w:val="00333C25"/>
    <w:rsid w:val="00335FAE"/>
    <w:rsid w:val="00370E88"/>
    <w:rsid w:val="0037295F"/>
    <w:rsid w:val="00387FF2"/>
    <w:rsid w:val="00393210"/>
    <w:rsid w:val="003A4DF5"/>
    <w:rsid w:val="003A7185"/>
    <w:rsid w:val="003B327A"/>
    <w:rsid w:val="003C53FC"/>
    <w:rsid w:val="003E2631"/>
    <w:rsid w:val="003F0834"/>
    <w:rsid w:val="004100BD"/>
    <w:rsid w:val="00417631"/>
    <w:rsid w:val="00427A28"/>
    <w:rsid w:val="0045501B"/>
    <w:rsid w:val="00472D51"/>
    <w:rsid w:val="00473295"/>
    <w:rsid w:val="00491D34"/>
    <w:rsid w:val="004A01A4"/>
    <w:rsid w:val="004B327E"/>
    <w:rsid w:val="004D198A"/>
    <w:rsid w:val="004F029F"/>
    <w:rsid w:val="00505E15"/>
    <w:rsid w:val="00525484"/>
    <w:rsid w:val="005929D1"/>
    <w:rsid w:val="0059776C"/>
    <w:rsid w:val="005C03CF"/>
    <w:rsid w:val="005C27C8"/>
    <w:rsid w:val="005E24C5"/>
    <w:rsid w:val="005E731A"/>
    <w:rsid w:val="00600FCA"/>
    <w:rsid w:val="00615B5A"/>
    <w:rsid w:val="00621264"/>
    <w:rsid w:val="00624A24"/>
    <w:rsid w:val="00634636"/>
    <w:rsid w:val="0065100D"/>
    <w:rsid w:val="006A3DBF"/>
    <w:rsid w:val="006A7B5C"/>
    <w:rsid w:val="006D1486"/>
    <w:rsid w:val="006F57E0"/>
    <w:rsid w:val="00752816"/>
    <w:rsid w:val="007579E2"/>
    <w:rsid w:val="007617D9"/>
    <w:rsid w:val="00765088"/>
    <w:rsid w:val="0078575B"/>
    <w:rsid w:val="007979E1"/>
    <w:rsid w:val="007A3A2F"/>
    <w:rsid w:val="007D00B3"/>
    <w:rsid w:val="007D35B1"/>
    <w:rsid w:val="007D4966"/>
    <w:rsid w:val="007E6386"/>
    <w:rsid w:val="00815742"/>
    <w:rsid w:val="00815C50"/>
    <w:rsid w:val="0084005A"/>
    <w:rsid w:val="00854BDF"/>
    <w:rsid w:val="008602C1"/>
    <w:rsid w:val="00876A3C"/>
    <w:rsid w:val="00882C9E"/>
    <w:rsid w:val="008A56EC"/>
    <w:rsid w:val="008F2BCF"/>
    <w:rsid w:val="008F541C"/>
    <w:rsid w:val="0091511E"/>
    <w:rsid w:val="00944DAF"/>
    <w:rsid w:val="009729F7"/>
    <w:rsid w:val="00977F5A"/>
    <w:rsid w:val="009B591F"/>
    <w:rsid w:val="00A13B33"/>
    <w:rsid w:val="00A3577A"/>
    <w:rsid w:val="00A64147"/>
    <w:rsid w:val="00AA4600"/>
    <w:rsid w:val="00AB42A6"/>
    <w:rsid w:val="00AB5D07"/>
    <w:rsid w:val="00AB6EC7"/>
    <w:rsid w:val="00AC59C3"/>
    <w:rsid w:val="00B07272"/>
    <w:rsid w:val="00B12A86"/>
    <w:rsid w:val="00B243DA"/>
    <w:rsid w:val="00B3029B"/>
    <w:rsid w:val="00B512A8"/>
    <w:rsid w:val="00B55626"/>
    <w:rsid w:val="00B6055A"/>
    <w:rsid w:val="00BA185B"/>
    <w:rsid w:val="00BA34D3"/>
    <w:rsid w:val="00BA51BF"/>
    <w:rsid w:val="00BB07D7"/>
    <w:rsid w:val="00BF15CD"/>
    <w:rsid w:val="00C01D3C"/>
    <w:rsid w:val="00C14FF8"/>
    <w:rsid w:val="00C2081D"/>
    <w:rsid w:val="00C23271"/>
    <w:rsid w:val="00C64605"/>
    <w:rsid w:val="00C96609"/>
    <w:rsid w:val="00CA109F"/>
    <w:rsid w:val="00CA117B"/>
    <w:rsid w:val="00CD4428"/>
    <w:rsid w:val="00CE2970"/>
    <w:rsid w:val="00D1326F"/>
    <w:rsid w:val="00D14462"/>
    <w:rsid w:val="00D21A9A"/>
    <w:rsid w:val="00D310A5"/>
    <w:rsid w:val="00D46532"/>
    <w:rsid w:val="00D57AD9"/>
    <w:rsid w:val="00D61C9D"/>
    <w:rsid w:val="00D75EBF"/>
    <w:rsid w:val="00DA556F"/>
    <w:rsid w:val="00DB2825"/>
    <w:rsid w:val="00DC5A47"/>
    <w:rsid w:val="00E027E5"/>
    <w:rsid w:val="00E45D71"/>
    <w:rsid w:val="00E5004D"/>
    <w:rsid w:val="00E634CE"/>
    <w:rsid w:val="00E64A66"/>
    <w:rsid w:val="00E84992"/>
    <w:rsid w:val="00E858E0"/>
    <w:rsid w:val="00EB31FD"/>
    <w:rsid w:val="00EC3730"/>
    <w:rsid w:val="00F4209D"/>
    <w:rsid w:val="00F43DC3"/>
    <w:rsid w:val="00F66D8D"/>
    <w:rsid w:val="00FA3374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26BB-6632-4DE3-A698-79846A86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Viskovo</Company>
  <LinksUpToDate>false</LinksUpToDate>
  <CharactersWithSpaces>5881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Lara Ugrina</cp:lastModifiedBy>
  <cp:revision>4</cp:revision>
  <cp:lastPrinted>2013-12-03T14:28:00Z</cp:lastPrinted>
  <dcterms:created xsi:type="dcterms:W3CDTF">2019-10-10T13:46:00Z</dcterms:created>
  <dcterms:modified xsi:type="dcterms:W3CDTF">2019-10-14T08:16:00Z</dcterms:modified>
</cp:coreProperties>
</file>